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5B" w:rsidRDefault="00D9645B" w:rsidP="00D9645B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4D4D4D"/>
          <w:sz w:val="15"/>
          <w:szCs w:val="15"/>
        </w:rPr>
      </w:pPr>
      <w:r>
        <w:rPr>
          <w:rStyle w:val="a4"/>
          <w:rFonts w:ascii="Arial" w:hAnsi="Arial" w:cs="Arial"/>
          <w:color w:val="4D4D4D"/>
          <w:sz w:val="15"/>
          <w:szCs w:val="15"/>
        </w:rPr>
        <w:t>Муниципальный жилищный контроль</w:t>
      </w:r>
    </w:p>
    <w:p w:rsidR="00D9645B" w:rsidRDefault="00D9645B" w:rsidP="00D9645B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4D4D4D"/>
          <w:sz w:val="15"/>
          <w:szCs w:val="15"/>
        </w:rPr>
      </w:pPr>
      <w:r>
        <w:rPr>
          <w:rStyle w:val="a4"/>
          <w:rFonts w:ascii="Arial" w:hAnsi="Arial" w:cs="Arial"/>
          <w:color w:val="4D4D4D"/>
          <w:sz w:val="15"/>
          <w:szCs w:val="15"/>
        </w:rPr>
        <w:t>Перечень обязательных требований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- Жилищный кодекс РФ</w:t>
      </w:r>
      <w:r>
        <w:rPr>
          <w:rStyle w:val="a4"/>
          <w:rFonts w:ascii="Arial" w:hAnsi="Arial" w:cs="Arial"/>
          <w:color w:val="4D4D4D"/>
          <w:sz w:val="15"/>
          <w:szCs w:val="15"/>
        </w:rPr>
        <w:t>,</w:t>
      </w:r>
      <w:r>
        <w:rPr>
          <w:rFonts w:ascii="Arial" w:hAnsi="Arial" w:cs="Arial"/>
          <w:color w:val="666666"/>
          <w:sz w:val="15"/>
          <w:szCs w:val="15"/>
        </w:rPr>
        <w:t> статья 20.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Необходимое соблюдение обязательных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proofErr w:type="gramStart"/>
      <w:r>
        <w:rPr>
          <w:rFonts w:ascii="Arial" w:hAnsi="Arial" w:cs="Arial"/>
          <w:color w:val="666666"/>
          <w:sz w:val="15"/>
          <w:szCs w:val="15"/>
        </w:rPr>
        <w:t>-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решения о заключении с указанными в </w:t>
      </w:r>
      <w:hyperlink r:id="rId4" w:anchor="dst444" w:history="1">
        <w:r>
          <w:rPr>
            <w:rStyle w:val="a5"/>
            <w:rFonts w:ascii="Arial" w:hAnsi="Arial" w:cs="Arial"/>
            <w:color w:val="439A86"/>
            <w:sz w:val="15"/>
            <w:szCs w:val="15"/>
            <w:u w:val="none"/>
          </w:rPr>
          <w:t>части 1 статьи 164</w:t>
        </w:r>
      </w:hyperlink>
      <w:r>
        <w:rPr>
          <w:rFonts w:ascii="Arial" w:hAnsi="Arial" w:cs="Arial"/>
          <w:color w:val="666666"/>
          <w:sz w:val="15"/>
          <w:szCs w:val="15"/>
        </w:rPr>
        <w:t> 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 </w:t>
      </w:r>
      <w:hyperlink r:id="rId5" w:anchor="dst776" w:history="1">
        <w:r>
          <w:rPr>
            <w:rStyle w:val="a5"/>
            <w:rFonts w:ascii="Arial" w:hAnsi="Arial" w:cs="Arial"/>
            <w:color w:val="439A86"/>
            <w:sz w:val="15"/>
            <w:szCs w:val="15"/>
            <w:u w:val="none"/>
          </w:rPr>
          <w:t>частью 2 статьи 162</w:t>
        </w:r>
      </w:hyperlink>
      <w:r>
        <w:rPr>
          <w:rFonts w:ascii="Arial" w:hAnsi="Arial" w:cs="Arial"/>
          <w:color w:val="666666"/>
          <w:sz w:val="15"/>
          <w:szCs w:val="15"/>
        </w:rPr>
        <w:t> 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 xml:space="preserve">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наймодателями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наймодателям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и нанимателям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жилых помещений в таких домах, к заключению и исполнению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и договоров найма жилых помещений.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в</w:t>
      </w:r>
      <w:proofErr w:type="gramEnd"/>
      <w:r>
        <w:rPr>
          <w:rFonts w:ascii="Arial" w:hAnsi="Arial" w:cs="Arial"/>
          <w:color w:val="666666"/>
          <w:sz w:val="15"/>
          <w:szCs w:val="15"/>
        </w:rPr>
        <w:t xml:space="preserve"> многоквартирном </w:t>
      </w:r>
      <w:proofErr w:type="gramStart"/>
      <w:r>
        <w:rPr>
          <w:rFonts w:ascii="Arial" w:hAnsi="Arial" w:cs="Arial"/>
          <w:color w:val="666666"/>
          <w:sz w:val="15"/>
          <w:szCs w:val="15"/>
        </w:rPr>
        <w:t>доме</w:t>
      </w:r>
      <w:proofErr w:type="gramEnd"/>
      <w:r>
        <w:rPr>
          <w:rFonts w:ascii="Arial" w:hAnsi="Arial" w:cs="Arial"/>
          <w:color w:val="666666"/>
          <w:sz w:val="15"/>
          <w:szCs w:val="15"/>
        </w:rPr>
        <w:t>, порядку осуществления перепланировки и (или) переустройства помещений в многоквартирном доме;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2) требований к формированию фондов капитального ремонта;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 xml:space="preserve">9) требований к порядку размещения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ресурсоснабжающими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10) требований к обеспечению доступности для инвалидов помещений в многоквартирных домах;</w:t>
      </w:r>
    </w:p>
    <w:p w:rsidR="00D9645B" w:rsidRDefault="00D9645B" w:rsidP="00476B2E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5"/>
          <w:szCs w:val="15"/>
        </w:rPr>
      </w:pPr>
      <w:r>
        <w:rPr>
          <w:rFonts w:ascii="Arial" w:hAnsi="Arial" w:cs="Arial"/>
          <w:color w:val="666666"/>
          <w:sz w:val="15"/>
          <w:szCs w:val="15"/>
        </w:rPr>
        <w:t>11) требований к предоставлению жилых помещений в наемных домах социального использования.</w:t>
      </w:r>
    </w:p>
    <w:p w:rsidR="007E68DC" w:rsidRDefault="00D9645B" w:rsidP="00476B2E">
      <w:pPr>
        <w:pStyle w:val="a3"/>
        <w:shd w:val="clear" w:color="auto" w:fill="FFFFFF"/>
      </w:pPr>
      <w:r>
        <w:rPr>
          <w:rFonts w:ascii="Arial" w:hAnsi="Arial" w:cs="Arial"/>
          <w:color w:val="666666"/>
          <w:sz w:val="15"/>
          <w:szCs w:val="15"/>
        </w:rPr>
        <w:t> </w:t>
      </w:r>
    </w:p>
    <w:sectPr w:rsidR="007E68DC" w:rsidSect="007E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D9645B"/>
    <w:rsid w:val="00476B2E"/>
    <w:rsid w:val="007E68DC"/>
    <w:rsid w:val="00B679A9"/>
    <w:rsid w:val="00D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45B"/>
    <w:rPr>
      <w:b/>
      <w:bCs/>
    </w:rPr>
  </w:style>
  <w:style w:type="character" w:styleId="a5">
    <w:name w:val="Hyperlink"/>
    <w:basedOn w:val="a0"/>
    <w:uiPriority w:val="99"/>
    <w:semiHidden/>
    <w:unhideWhenUsed/>
    <w:rsid w:val="00D96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9395/14e9738be002fe3ab76c0d580b863aac1ac65fb7/" TargetMode="External"/><Relationship Id="rId4" Type="http://schemas.openxmlformats.org/officeDocument/2006/relationships/hyperlink" Target="http://www.consultant.ru/document/cons_doc_LAW_339395/71861d068253eb32f913279b4bdb983015034e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2</cp:revision>
  <dcterms:created xsi:type="dcterms:W3CDTF">2023-03-10T13:15:00Z</dcterms:created>
  <dcterms:modified xsi:type="dcterms:W3CDTF">2023-03-10T13:29:00Z</dcterms:modified>
</cp:coreProperties>
</file>